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 w:hAnsi="方正小标宋简体" w:hint="eastAsia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Ansi="方正小标宋简体" w:hint="eastAsia"/>
          <w:kern w:val="2"/>
          <w:sz w:val="44"/>
          <w:szCs w:val="44"/>
          <w:lang w:val="en-US" w:eastAsia="zh-CN" w:bidi="ar-SA"/>
        </w:rPr>
        <w:t>北辰区人民检察院202</w:t>
      </w:r>
      <w:r>
        <w:rPr>
          <w:rFonts w:ascii="方正小标宋简体" w:eastAsia="方正小标宋简体" w:cs="方正小标宋简体" w:hAnsi="方正小标宋简体"/>
          <w:kern w:val="2"/>
          <w:sz w:val="44"/>
          <w:szCs w:val="44"/>
          <w:lang w:val="en-US" w:eastAsia="zh-CN" w:bidi="ar-SA"/>
        </w:rPr>
        <w:t>5</w:t>
      </w:r>
      <w:r>
        <w:rPr>
          <w:rFonts w:ascii="方正小标宋简体" w:eastAsia="方正小标宋简体" w:cs="方正小标宋简体" w:hAnsi="方正小标宋简体" w:hint="eastAsia"/>
          <w:kern w:val="2"/>
          <w:sz w:val="44"/>
          <w:szCs w:val="44"/>
          <w:lang w:val="en-US" w:eastAsia="zh-CN" w:bidi="ar-SA"/>
        </w:rPr>
        <w:t>年度普法责任清单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 xml:space="preserve">     为全面贯彻落实国家机关“谁执法谁普法”“谁主管谁普法”“谁服务谁普法”的普法责任制，围绕“八五”普法工作目标，结合工作实际，制定202</w:t>
      </w:r>
      <w:r>
        <w:rPr>
          <w:rFonts w:ascii="仿宋_GB2312" w:eastAsia="仿宋_GB2312" w:cs="仿宋_GB2312" w:hAnsi="仿宋_GB2312"/>
          <w:kern w:val="0"/>
          <w:sz w:val="32"/>
          <w:szCs w:val="32"/>
          <w:lang w:val="en-US" w:eastAsia="zh-CN" w:bidi="ar-SA"/>
        </w:rPr>
        <w:t>5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年度普法责任清单，公示如下：</w:t>
      </w:r>
    </w:p>
    <w:tbl>
      <w:tblPr>
        <w:jc w:val="left"/>
        <w:tblInd w:w="-109" w:type="dxa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60"/>
        <w:gridCol w:w="1492"/>
        <w:gridCol w:w="1696"/>
        <w:gridCol w:w="1656"/>
        <w:gridCol w:w="1530"/>
      </w:tblGrid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重点普法内容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100" w:firstLine="280"/>
              <w:rPr>
                <w:rFonts w:ascii="仿宋_GB2312" w:eastAsia="仿宋_GB2312" w:cs="仿宋_GB2312" w:hAnsi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cs="仿宋_GB2312" w:hAnsi="仿宋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cs="仿宋_GB2312" w:hAnsi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深入学习宣传贯彻</w:t>
            </w:r>
            <w:r>
              <w:rPr>
                <w:rFonts w:ascii="仿宋_GB2312" w:cs="仿宋_GB2312" w:hAnsi="仿宋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习近平法治思想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cs="仿宋_GB2312" w:hAnsi="仿宋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全院干警</w:t>
            </w:r>
            <w:r>
              <w:rPr>
                <w:rFonts w:ascii="仿宋_GB2312" w:cs="仿宋_GB2312" w:hAnsi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、社会公众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100" w:firstLine="280"/>
              <w:rPr>
                <w:rFonts w:ascii="仿宋_GB2312" w:eastAsia="仿宋_GB2312" w:cs="仿宋_GB2312" w:hAnsi="仿宋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政治部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集中学习、</w:t>
            </w:r>
          </w:p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专题讲座、</w:t>
            </w:r>
          </w:p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知识竞答</w:t>
            </w: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、新媒体普法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100" w:firstLine="280"/>
              <w:jc w:val="both"/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left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深入学习</w:t>
            </w: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宣传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党内法规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both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全院干警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政治部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both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集中学习</w:t>
            </w: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、专题讲座、知识竞答、新媒体普法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both"/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 xml:space="preserve">  3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《中华人民共和国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宪法》、《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中华人民共和国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检察官法》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全院干警、社会公众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100" w:firstLine="280"/>
              <w:rPr>
                <w:rFonts w:ascii="仿宋_GB2312" w:eastAsia="仿宋_GB2312" w:cs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val="en-US" w:eastAsia="zh-CN"/>
              </w:rPr>
              <w:t>政治部</w:t>
            </w:r>
          </w:p>
          <w:p>
            <w:pPr>
              <w:bidi w:val="0"/>
              <w:ind w:firstLineChars="100" w:firstLine="280"/>
              <w:jc w:val="both"/>
              <w:rPr>
                <w:rFonts w:ascii="仿宋_GB2312" w:eastAsia="仿宋_GB2312" w:cs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val="en-US" w:eastAsia="zh-CN"/>
              </w:rPr>
              <w:t>办公室</w:t>
            </w:r>
          </w:p>
          <w:p>
            <w:pPr>
              <w:pStyle w:val="15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集中学习、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主题宣传、新媒体普法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100" w:firstLine="280"/>
              <w:jc w:val="both"/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left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《中华人民共和国刑法》、《中华人民共和国刑事诉讼法》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both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各业务部门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both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主题宣传、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以案释法、新媒体普法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jc w:val="center"/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 xml:space="preserve">  5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《中华人民共和国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民法典》、《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中华人民共和国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民事诉讼法》、《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中华人民共和国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行政诉讼法》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第五检察部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主题宣传、</w:t>
            </w: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以案释法、</w:t>
            </w:r>
          </w:p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 xml:space="preserve">  6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中华人民共和国国家安全法》、《中华人民共和国反分裂国家法》、《中华人民共和国国防法》</w:t>
            </w: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《中华人民共和国反有组织犯罪法》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第二检察部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主题宣传、新媒体普法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 xml:space="preserve">  7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《中华人民共和国国家赔偿法》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第六检察部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以案释法、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 xml:space="preserve">  8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中华人民共和国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知识产权保护法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第三检察部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主题宣传、新媒体普法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before="156" w:afterLines="50" w:after="156"/>
              <w:ind w:left="0" w:firstLineChars="0" w:firstLine="0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《中华人民共和国未成年人保护法》、《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中华人民共和国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预防未成年人犯罪法》等法律</w:t>
            </w:r>
            <w:r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法规</w:t>
            </w:r>
            <w:r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规章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未检工作室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主题宣传、以案释法、新媒体普法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  <w:tr>
        <w:tc>
          <w:tcPr>
            <w:tcW w:w="77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中共中央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关于加强新时代检察机关法律监督工作的意见》</w:t>
            </w:r>
            <w:r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、《关于全面深化检察改革、进一步加强新时代检察工作的意见》等与检察机关法律监督相关的法律、法规和规章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全院干警、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社会公众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综合业务部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/>
                <w:sz w:val="28"/>
                <w:szCs w:val="28"/>
                <w:vertAlign w:val="baseline"/>
                <w:lang w:val="en-US" w:eastAsia="zh-CN"/>
              </w:rPr>
              <w:t>集中学习、</w:t>
            </w: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新媒体普法</w:t>
            </w:r>
          </w:p>
        </w:tc>
        <w:tc>
          <w:tcPr>
            <w:tcW w:w="1530" w:type="dxa"/>
            <w:tcBorders>
              <w:tl2br w:val="nil"/>
              <w:tr2bl w:val="nil"/>
            </w:tcBorders>
          </w:tcPr>
          <w:p>
            <w:pPr>
              <w:pStyle w:val="15"/>
              <w:ind w:left="0" w:firstLineChars="0" w:firstLine="0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</w:pPr>
      <w:r>
        <w:br w:type="page"/>
      </w:r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列出段落1"/>
    <w:pPr>
      <w:widowControl w:val="0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0AE556D-A5F2-4214-9FBF-87B0F915BCB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14092553</TotalTime>
  <Application>Yozo_Office27021597764231179</Application>
  <Pages>4</Pages>
  <Words>0</Words>
  <Characters>654</Characters>
  <Lines>0</Lines>
  <Paragraphs>6</Paragraphs>
  <CharactersWithSpaces>873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yangxiaoya</cp:lastModifiedBy>
  <cp:revision>0</cp:revision>
  <cp:lastPrinted>2023-03-02T14:51:00Z</cp:lastPrinted>
  <dcterms:created xsi:type="dcterms:W3CDTF">2014-10-31T04:08:00Z</dcterms:created>
  <dcterms:modified xsi:type="dcterms:W3CDTF">2025-06-24T09:18:32Z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2052-11.8.2.10195</vt:lpwstr>
  </property>
</Properties>
</file>